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0" w:type="auto"/>
        <w:tblLook w:val="04A0" w:firstRow="1" w:lastRow="0" w:firstColumn="1" w:lastColumn="0" w:noHBand="0" w:noVBand="1"/>
      </w:tblPr>
      <w:tblGrid>
        <w:gridCol w:w="2875"/>
        <w:gridCol w:w="7200"/>
        <w:gridCol w:w="2875"/>
      </w:tblGrid>
      <w:tr w:rsidR="0086184D" w14:paraId="76AC9E69" w14:textId="77777777" w:rsidTr="003B0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33CCCC"/>
          </w:tcPr>
          <w:p w14:paraId="0755285D" w14:textId="327714CC" w:rsidR="0086184D" w:rsidRPr="005802DA" w:rsidRDefault="0086184D" w:rsidP="0086184D">
            <w:pPr>
              <w:jc w:val="center"/>
              <w:rPr>
                <w:rFonts w:ascii="Ink Free" w:hAnsi="Ink Free"/>
                <w:sz w:val="24"/>
                <w:szCs w:val="24"/>
              </w:rPr>
            </w:pPr>
            <w:bookmarkStart w:id="0" w:name="_Hlk66455141"/>
            <w:bookmarkStart w:id="1" w:name="_Hlk55480392"/>
            <w:r w:rsidRPr="005802DA">
              <w:rPr>
                <w:rFonts w:ascii="Ink Free" w:hAnsi="Ink Free"/>
                <w:sz w:val="24"/>
                <w:szCs w:val="24"/>
              </w:rPr>
              <w:t>Bill Number</w:t>
            </w:r>
          </w:p>
        </w:tc>
        <w:tc>
          <w:tcPr>
            <w:tcW w:w="7200" w:type="dxa"/>
            <w:shd w:val="clear" w:color="auto" w:fill="33CCCC"/>
          </w:tcPr>
          <w:p w14:paraId="68FA23C4" w14:textId="4D180C14" w:rsidR="0086184D" w:rsidRPr="005802DA" w:rsidRDefault="0086184D" w:rsidP="0086184D">
            <w:pPr>
              <w:jc w:val="center"/>
              <w:cnfStyle w:val="100000000000" w:firstRow="1" w:lastRow="0" w:firstColumn="0" w:lastColumn="0" w:oddVBand="0" w:evenVBand="0" w:oddHBand="0" w:evenHBand="0" w:firstRowFirstColumn="0" w:firstRowLastColumn="0" w:lastRowFirstColumn="0" w:lastRowLastColumn="0"/>
              <w:rPr>
                <w:rFonts w:ascii="Ink Free" w:hAnsi="Ink Free"/>
                <w:sz w:val="24"/>
                <w:szCs w:val="24"/>
              </w:rPr>
            </w:pPr>
            <w:r w:rsidRPr="005802DA">
              <w:rPr>
                <w:rFonts w:ascii="Ink Free" w:hAnsi="Ink Free"/>
                <w:sz w:val="24"/>
                <w:szCs w:val="24"/>
              </w:rPr>
              <w:t>Summary and Council Action</w:t>
            </w:r>
          </w:p>
        </w:tc>
        <w:tc>
          <w:tcPr>
            <w:tcW w:w="2875" w:type="dxa"/>
            <w:shd w:val="clear" w:color="auto" w:fill="33CCCC"/>
          </w:tcPr>
          <w:p w14:paraId="5F3B07F1" w14:textId="76BD75DE" w:rsidR="0086184D" w:rsidRPr="005802DA" w:rsidRDefault="0086184D" w:rsidP="0086184D">
            <w:pPr>
              <w:jc w:val="center"/>
              <w:cnfStyle w:val="100000000000" w:firstRow="1" w:lastRow="0" w:firstColumn="0" w:lastColumn="0" w:oddVBand="0" w:evenVBand="0" w:oddHBand="0" w:evenHBand="0" w:firstRowFirstColumn="0" w:firstRowLastColumn="0" w:lastRowFirstColumn="0" w:lastRowLastColumn="0"/>
              <w:rPr>
                <w:rFonts w:ascii="Ink Free" w:hAnsi="Ink Free"/>
                <w:sz w:val="24"/>
                <w:szCs w:val="24"/>
              </w:rPr>
            </w:pPr>
            <w:r w:rsidRPr="005802DA">
              <w:rPr>
                <w:rFonts w:ascii="Ink Free" w:hAnsi="Ink Free"/>
                <w:sz w:val="24"/>
                <w:szCs w:val="24"/>
              </w:rPr>
              <w:t>Status</w:t>
            </w:r>
          </w:p>
        </w:tc>
      </w:tr>
      <w:bookmarkEnd w:id="0"/>
      <w:tr w:rsidR="0086184D" w14:paraId="791BA257" w14:textId="77777777" w:rsidTr="00B41B50">
        <w:trPr>
          <w:trHeight w:val="2823"/>
        </w:trPr>
        <w:tc>
          <w:tcPr>
            <w:cnfStyle w:val="001000000000" w:firstRow="0" w:lastRow="0" w:firstColumn="1" w:lastColumn="0" w:oddVBand="0" w:evenVBand="0" w:oddHBand="0" w:evenHBand="0" w:firstRowFirstColumn="0" w:firstRowLastColumn="0" w:lastRowFirstColumn="0" w:lastRowLastColumn="0"/>
            <w:tcW w:w="2875" w:type="dxa"/>
          </w:tcPr>
          <w:p w14:paraId="651AD00C" w14:textId="77777777" w:rsidR="0086184D" w:rsidRDefault="003643E3">
            <w:pPr>
              <w:rPr>
                <w:b w:val="0"/>
                <w:bCs w:val="0"/>
              </w:rPr>
            </w:pPr>
            <w:r>
              <w:t>House Bill No. 55</w:t>
            </w:r>
          </w:p>
          <w:p w14:paraId="574617A2" w14:textId="161AE0DE" w:rsidR="003643E3" w:rsidRPr="003643E3" w:rsidRDefault="003643E3">
            <w:pPr>
              <w:rPr>
                <w:b w:val="0"/>
                <w:bCs w:val="0"/>
              </w:rPr>
            </w:pPr>
            <w:r>
              <w:rPr>
                <w:b w:val="0"/>
                <w:bCs w:val="0"/>
              </w:rPr>
              <w:t>Delaware Gun Shop Project</w:t>
            </w:r>
          </w:p>
        </w:tc>
        <w:tc>
          <w:tcPr>
            <w:tcW w:w="7200" w:type="dxa"/>
          </w:tcPr>
          <w:p w14:paraId="555B5D45" w14:textId="77777777" w:rsidR="0086184D" w:rsidRDefault="003643E3">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shd w:val="clear" w:color="auto" w:fill="FFFFFF"/>
              </w:rPr>
            </w:pPr>
            <w:r w:rsidRPr="003643E3">
              <w:rPr>
                <w:b/>
                <w:bCs/>
              </w:rPr>
              <w:t>Synopsis:</w:t>
            </w:r>
            <w:r>
              <w:rPr>
                <w:b/>
                <w:bCs/>
              </w:rPr>
              <w:t xml:space="preserve"> </w:t>
            </w:r>
            <w:r>
              <w:rPr>
                <w:rFonts w:ascii="Arial" w:hAnsi="Arial" w:cs="Arial"/>
                <w:color w:val="333333"/>
                <w:sz w:val="20"/>
                <w:szCs w:val="20"/>
                <w:shd w:val="clear" w:color="auto" w:fill="FFFFFF"/>
              </w:rPr>
              <w:t>The Gun Shop Project's primary purpose is to develop, create, and provide suicide prevention education materials and training, to be made available for dealers and consumers of licensed deadly weapons in Delaware. The Delaware Suicide Prevention Coalition will oversee the Gun Shop Project and include the Project's annual report in the Coalition's annual report. The Division of Substance Abuse and Mental Health, which staff the Coalition, will staff the Gun Shop Project. This Act also makes technical corrections to conform existing law to the standards of the Delaware Legislative Drafting Manual.</w:t>
            </w:r>
          </w:p>
          <w:p w14:paraId="37057480" w14:textId="363391C2" w:rsidR="003643E3" w:rsidRPr="003643E3" w:rsidRDefault="003643E3">
            <w:pPr>
              <w:cnfStyle w:val="000000000000" w:firstRow="0" w:lastRow="0" w:firstColumn="0" w:lastColumn="0" w:oddVBand="0" w:evenVBand="0" w:oddHBand="0" w:evenHBand="0" w:firstRowFirstColumn="0" w:firstRowLastColumn="0" w:lastRowFirstColumn="0" w:lastRowLastColumn="0"/>
            </w:pPr>
            <w:r>
              <w:rPr>
                <w:rFonts w:ascii="Arial" w:hAnsi="Arial" w:cs="Arial"/>
                <w:b/>
                <w:bCs/>
                <w:color w:val="333333"/>
                <w:sz w:val="20"/>
                <w:szCs w:val="20"/>
                <w:shd w:val="clear" w:color="auto" w:fill="FFFFFF"/>
              </w:rPr>
              <w:t xml:space="preserve">Council Action: </w:t>
            </w:r>
            <w:r>
              <w:rPr>
                <w:rFonts w:ascii="Arial" w:hAnsi="Arial" w:cs="Arial"/>
                <w:color w:val="333333"/>
                <w:sz w:val="20"/>
                <w:szCs w:val="20"/>
                <w:shd w:val="clear" w:color="auto" w:fill="FFFFFF"/>
              </w:rPr>
              <w:t xml:space="preserve">Letter sent to the General Assembly supporting the legislation and offering observations.  </w:t>
            </w:r>
          </w:p>
        </w:tc>
        <w:tc>
          <w:tcPr>
            <w:tcW w:w="2875" w:type="dxa"/>
          </w:tcPr>
          <w:p w14:paraId="67531363" w14:textId="77777777" w:rsidR="0086184D" w:rsidRDefault="0086184D">
            <w:pPr>
              <w:cnfStyle w:val="000000000000" w:firstRow="0" w:lastRow="0" w:firstColumn="0" w:lastColumn="0" w:oddVBand="0" w:evenVBand="0" w:oddHBand="0" w:evenHBand="0" w:firstRowFirstColumn="0" w:firstRowLastColumn="0" w:lastRowFirstColumn="0" w:lastRowLastColumn="0"/>
            </w:pPr>
          </w:p>
        </w:tc>
      </w:tr>
      <w:tr w:rsidR="00E032A7" w14:paraId="12F70CE4" w14:textId="77777777" w:rsidTr="00B41B50">
        <w:trPr>
          <w:trHeight w:val="1232"/>
        </w:trPr>
        <w:tc>
          <w:tcPr>
            <w:cnfStyle w:val="001000000000" w:firstRow="0" w:lastRow="0" w:firstColumn="1" w:lastColumn="0" w:oddVBand="0" w:evenVBand="0" w:oddHBand="0" w:evenHBand="0" w:firstRowFirstColumn="0" w:firstRowLastColumn="0" w:lastRowFirstColumn="0" w:lastRowLastColumn="0"/>
            <w:tcW w:w="2875" w:type="dxa"/>
          </w:tcPr>
          <w:p w14:paraId="2710E1F5" w14:textId="77777777" w:rsidR="00E032A7" w:rsidRDefault="003643E3">
            <w:pPr>
              <w:rPr>
                <w:b w:val="0"/>
                <w:bCs w:val="0"/>
              </w:rPr>
            </w:pPr>
            <w:r>
              <w:t xml:space="preserve">House Bill No. 62 </w:t>
            </w:r>
          </w:p>
          <w:p w14:paraId="69B9E317" w14:textId="2AD82903" w:rsidR="003643E3" w:rsidRPr="003643E3" w:rsidRDefault="003643E3">
            <w:pPr>
              <w:rPr>
                <w:b w:val="0"/>
                <w:bCs w:val="0"/>
              </w:rPr>
            </w:pPr>
            <w:r>
              <w:rPr>
                <w:b w:val="0"/>
                <w:bCs w:val="0"/>
              </w:rPr>
              <w:t xml:space="preserve">Prescription Drug Pricing </w:t>
            </w:r>
          </w:p>
        </w:tc>
        <w:tc>
          <w:tcPr>
            <w:tcW w:w="7200" w:type="dxa"/>
          </w:tcPr>
          <w:p w14:paraId="3068407A" w14:textId="5D961FE5" w:rsidR="00E032A7" w:rsidRDefault="003643E3">
            <w:pPr>
              <w:cnfStyle w:val="000000000000" w:firstRow="0" w:lastRow="0" w:firstColumn="0" w:lastColumn="0" w:oddVBand="0" w:evenVBand="0" w:oddHBand="0" w:evenHBand="0" w:firstRowFirstColumn="0" w:firstRowLastColumn="0" w:lastRowFirstColumn="0" w:lastRowLastColumn="0"/>
            </w:pPr>
            <w:r w:rsidRPr="003643E3">
              <w:rPr>
                <w:b/>
                <w:bCs/>
              </w:rPr>
              <w:t>Synopsis:</w:t>
            </w:r>
            <w:r>
              <w:rPr>
                <w:b/>
                <w:bCs/>
              </w:rPr>
              <w:t xml:space="preserve"> </w:t>
            </w:r>
            <w:r>
              <w:t xml:space="preserve">This bill is a comprehensive effort to control the prices of generic and off-patent drugs sold, </w:t>
            </w:r>
            <w:r w:rsidR="00153983">
              <w:t>dispensed,</w:t>
            </w:r>
            <w:r>
              <w:t xml:space="preserve"> or delivered to any individual in Delaware and provides stiff penalties for violations.  </w:t>
            </w:r>
          </w:p>
          <w:p w14:paraId="1B49CB97" w14:textId="486765EC" w:rsidR="003643E3" w:rsidRPr="003643E3" w:rsidRDefault="003643E3">
            <w:pPr>
              <w:cnfStyle w:val="000000000000" w:firstRow="0" w:lastRow="0" w:firstColumn="0" w:lastColumn="0" w:oddVBand="0" w:evenVBand="0" w:oddHBand="0" w:evenHBand="0" w:firstRowFirstColumn="0" w:firstRowLastColumn="0" w:lastRowFirstColumn="0" w:lastRowLastColumn="0"/>
            </w:pPr>
            <w:r w:rsidRPr="003643E3">
              <w:rPr>
                <w:b/>
                <w:bCs/>
              </w:rPr>
              <w:t>Council Action:</w:t>
            </w:r>
            <w:r>
              <w:rPr>
                <w:b/>
                <w:bCs/>
              </w:rPr>
              <w:t xml:space="preserve"> </w:t>
            </w:r>
            <w:r>
              <w:t xml:space="preserve">Letter sent to the General Assembly endorsing the legislation. </w:t>
            </w:r>
          </w:p>
        </w:tc>
        <w:tc>
          <w:tcPr>
            <w:tcW w:w="2875" w:type="dxa"/>
          </w:tcPr>
          <w:p w14:paraId="79141859" w14:textId="77777777" w:rsidR="00E032A7" w:rsidRDefault="00E032A7">
            <w:pPr>
              <w:cnfStyle w:val="000000000000" w:firstRow="0" w:lastRow="0" w:firstColumn="0" w:lastColumn="0" w:oddVBand="0" w:evenVBand="0" w:oddHBand="0" w:evenHBand="0" w:firstRowFirstColumn="0" w:firstRowLastColumn="0" w:lastRowFirstColumn="0" w:lastRowLastColumn="0"/>
            </w:pPr>
          </w:p>
        </w:tc>
      </w:tr>
      <w:tr w:rsidR="00E032A7" w14:paraId="4C56A480" w14:textId="77777777" w:rsidTr="00153983">
        <w:trPr>
          <w:trHeight w:val="1178"/>
        </w:trPr>
        <w:tc>
          <w:tcPr>
            <w:cnfStyle w:val="001000000000" w:firstRow="0" w:lastRow="0" w:firstColumn="1" w:lastColumn="0" w:oddVBand="0" w:evenVBand="0" w:oddHBand="0" w:evenHBand="0" w:firstRowFirstColumn="0" w:firstRowLastColumn="0" w:lastRowFirstColumn="0" w:lastRowLastColumn="0"/>
            <w:tcW w:w="2875" w:type="dxa"/>
          </w:tcPr>
          <w:p w14:paraId="629B6A73" w14:textId="77777777" w:rsidR="00E032A7" w:rsidRDefault="003643E3">
            <w:pPr>
              <w:rPr>
                <w:b w:val="0"/>
                <w:bCs w:val="0"/>
              </w:rPr>
            </w:pPr>
            <w:r>
              <w:t>House Bill No. 86</w:t>
            </w:r>
          </w:p>
          <w:p w14:paraId="1543928D" w14:textId="259A4B5D" w:rsidR="00153983" w:rsidRPr="00153983" w:rsidRDefault="00153983">
            <w:pPr>
              <w:rPr>
                <w:b w:val="0"/>
                <w:bCs w:val="0"/>
              </w:rPr>
            </w:pPr>
            <w:r>
              <w:rPr>
                <w:b w:val="0"/>
                <w:bCs w:val="0"/>
              </w:rPr>
              <w:t xml:space="preserve">Expansion of K-3 Basic Special Education Funding </w:t>
            </w:r>
          </w:p>
        </w:tc>
        <w:tc>
          <w:tcPr>
            <w:tcW w:w="7200" w:type="dxa"/>
          </w:tcPr>
          <w:p w14:paraId="7BD8DC8E" w14:textId="77777777" w:rsidR="00E032A7" w:rsidRDefault="003643E3">
            <w:pPr>
              <w:cnfStyle w:val="000000000000" w:firstRow="0" w:lastRow="0" w:firstColumn="0" w:lastColumn="0" w:oddVBand="0" w:evenVBand="0" w:oddHBand="0" w:evenHBand="0" w:firstRowFirstColumn="0" w:firstRowLastColumn="0" w:lastRowFirstColumn="0" w:lastRowLastColumn="0"/>
            </w:pPr>
            <w:r w:rsidRPr="003643E3">
              <w:rPr>
                <w:b/>
                <w:bCs/>
              </w:rPr>
              <w:t xml:space="preserve">Synopsis: </w:t>
            </w:r>
            <w:r w:rsidR="00153983">
              <w:t>Increased funding for kindergarten through third grade students identified as eligible for basic special education services/</w:t>
            </w:r>
          </w:p>
          <w:p w14:paraId="5C59E6DD" w14:textId="3B879342" w:rsidR="00153983" w:rsidRPr="00153983" w:rsidRDefault="00153983">
            <w:pPr>
              <w:cnfStyle w:val="000000000000" w:firstRow="0" w:lastRow="0" w:firstColumn="0" w:lastColumn="0" w:oddVBand="0" w:evenVBand="0" w:oddHBand="0" w:evenHBand="0" w:firstRowFirstColumn="0" w:firstRowLastColumn="0" w:lastRowFirstColumn="0" w:lastRowLastColumn="0"/>
            </w:pPr>
            <w:r>
              <w:rPr>
                <w:b/>
                <w:bCs/>
              </w:rPr>
              <w:t xml:space="preserve">Council Action: </w:t>
            </w:r>
            <w:r>
              <w:t>Letter sent to the General Assembly supporting the legislation.</w:t>
            </w:r>
          </w:p>
        </w:tc>
        <w:tc>
          <w:tcPr>
            <w:tcW w:w="2875" w:type="dxa"/>
          </w:tcPr>
          <w:p w14:paraId="7FFA9C99" w14:textId="77777777" w:rsidR="00E032A7" w:rsidRDefault="00E032A7">
            <w:pPr>
              <w:cnfStyle w:val="000000000000" w:firstRow="0" w:lastRow="0" w:firstColumn="0" w:lastColumn="0" w:oddVBand="0" w:evenVBand="0" w:oddHBand="0" w:evenHBand="0" w:firstRowFirstColumn="0" w:firstRowLastColumn="0" w:lastRowFirstColumn="0" w:lastRowLastColumn="0"/>
            </w:pPr>
          </w:p>
        </w:tc>
      </w:tr>
      <w:tr w:rsidR="003B0027" w14:paraId="40F69CCB" w14:textId="77777777" w:rsidTr="003B0027">
        <w:trPr>
          <w:trHeight w:val="1358"/>
        </w:trPr>
        <w:tc>
          <w:tcPr>
            <w:cnfStyle w:val="001000000000" w:firstRow="0" w:lastRow="0" w:firstColumn="1" w:lastColumn="0" w:oddVBand="0" w:evenVBand="0" w:oddHBand="0" w:evenHBand="0" w:firstRowFirstColumn="0" w:firstRowLastColumn="0" w:lastRowFirstColumn="0" w:lastRowLastColumn="0"/>
            <w:tcW w:w="2875" w:type="dxa"/>
          </w:tcPr>
          <w:p w14:paraId="44C67C52" w14:textId="77777777" w:rsidR="003B0027" w:rsidRDefault="00153983">
            <w:pPr>
              <w:rPr>
                <w:b w:val="0"/>
                <w:bCs w:val="0"/>
              </w:rPr>
            </w:pPr>
            <w:r>
              <w:t>House Bill No. 100</w:t>
            </w:r>
          </w:p>
          <w:p w14:paraId="026E5E8D" w14:textId="06B7CDBD" w:rsidR="00153983" w:rsidRPr="00153983" w:rsidRDefault="00153983">
            <w:pPr>
              <w:rPr>
                <w:b w:val="0"/>
                <w:bCs w:val="0"/>
              </w:rPr>
            </w:pPr>
            <w:r w:rsidRPr="00153983">
              <w:rPr>
                <w:b w:val="0"/>
                <w:bCs w:val="0"/>
              </w:rPr>
              <w:t>Mental Health Unites for Elementary Schools</w:t>
            </w:r>
          </w:p>
        </w:tc>
        <w:tc>
          <w:tcPr>
            <w:tcW w:w="7200" w:type="dxa"/>
          </w:tcPr>
          <w:p w14:paraId="39EA12FA" w14:textId="3165AE58" w:rsidR="003B0027" w:rsidRPr="00153983" w:rsidRDefault="00153983">
            <w:pPr>
              <w:cnfStyle w:val="000000000000" w:firstRow="0" w:lastRow="0" w:firstColumn="0" w:lastColumn="0" w:oddVBand="0" w:evenVBand="0" w:oddHBand="0" w:evenHBand="0" w:firstRowFirstColumn="0" w:firstRowLastColumn="0" w:lastRowFirstColumn="0" w:lastRowLastColumn="0"/>
            </w:pPr>
            <w:r w:rsidRPr="00153983">
              <w:rPr>
                <w:b/>
                <w:bCs/>
              </w:rPr>
              <w:t>Synopsis:</w:t>
            </w:r>
            <w:r>
              <w:rPr>
                <w:b/>
                <w:bCs/>
              </w:rPr>
              <w:t xml:space="preserve"> </w:t>
            </w:r>
            <w:r>
              <w:t>The bill proposes the establishment of a mental health services unit in every Delaware public elementary school (including charter schools)</w:t>
            </w:r>
          </w:p>
          <w:p w14:paraId="5F2DF2E7" w14:textId="6B02D3E3" w:rsidR="00153983" w:rsidRDefault="00153983">
            <w:pPr>
              <w:cnfStyle w:val="000000000000" w:firstRow="0" w:lastRow="0" w:firstColumn="0" w:lastColumn="0" w:oddVBand="0" w:evenVBand="0" w:oddHBand="0" w:evenHBand="0" w:firstRowFirstColumn="0" w:firstRowLastColumn="0" w:lastRowFirstColumn="0" w:lastRowLastColumn="0"/>
            </w:pPr>
            <w:r w:rsidRPr="00153983">
              <w:rPr>
                <w:b/>
                <w:bCs/>
              </w:rPr>
              <w:t>Council Action:</w:t>
            </w:r>
            <w:r>
              <w:rPr>
                <w:b/>
                <w:bCs/>
              </w:rPr>
              <w:t xml:space="preserve"> </w:t>
            </w:r>
            <w:r w:rsidRPr="00153983">
              <w:t>Letter sent to the General Assembly supporting the legislation and sharing observations.</w:t>
            </w:r>
            <w:r>
              <w:rPr>
                <w:b/>
                <w:bCs/>
              </w:rPr>
              <w:t xml:space="preserve"> </w:t>
            </w:r>
          </w:p>
        </w:tc>
        <w:tc>
          <w:tcPr>
            <w:tcW w:w="2875" w:type="dxa"/>
          </w:tcPr>
          <w:p w14:paraId="00CC8428" w14:textId="77777777" w:rsidR="003B0027" w:rsidRDefault="003B0027">
            <w:pPr>
              <w:cnfStyle w:val="000000000000" w:firstRow="0" w:lastRow="0" w:firstColumn="0" w:lastColumn="0" w:oddVBand="0" w:evenVBand="0" w:oddHBand="0" w:evenHBand="0" w:firstRowFirstColumn="0" w:firstRowLastColumn="0" w:lastRowFirstColumn="0" w:lastRowLastColumn="0"/>
            </w:pPr>
          </w:p>
        </w:tc>
      </w:tr>
      <w:tr w:rsidR="00153983" w14:paraId="4D0E5634" w14:textId="77777777" w:rsidTr="00B41B50">
        <w:trPr>
          <w:trHeight w:val="2303"/>
        </w:trPr>
        <w:tc>
          <w:tcPr>
            <w:cnfStyle w:val="001000000000" w:firstRow="0" w:lastRow="0" w:firstColumn="1" w:lastColumn="0" w:oddVBand="0" w:evenVBand="0" w:oddHBand="0" w:evenHBand="0" w:firstRowFirstColumn="0" w:firstRowLastColumn="0" w:lastRowFirstColumn="0" w:lastRowLastColumn="0"/>
            <w:tcW w:w="2875" w:type="dxa"/>
          </w:tcPr>
          <w:p w14:paraId="14049FEF" w14:textId="77777777" w:rsidR="00153983" w:rsidRDefault="00153983">
            <w:pPr>
              <w:rPr>
                <w:b w:val="0"/>
                <w:bCs w:val="0"/>
              </w:rPr>
            </w:pPr>
            <w:r>
              <w:t>Senate Bill No. 20</w:t>
            </w:r>
          </w:p>
          <w:p w14:paraId="552CBF07" w14:textId="199D7C10" w:rsidR="00153983" w:rsidRPr="00153983" w:rsidRDefault="00153983">
            <w:pPr>
              <w:rPr>
                <w:b w:val="0"/>
                <w:bCs w:val="0"/>
              </w:rPr>
            </w:pPr>
            <w:r>
              <w:rPr>
                <w:b w:val="0"/>
                <w:bCs w:val="0"/>
              </w:rPr>
              <w:t>Delaware Equal Accommodations Law (DEAL)</w:t>
            </w:r>
          </w:p>
        </w:tc>
        <w:tc>
          <w:tcPr>
            <w:tcW w:w="7200" w:type="dxa"/>
          </w:tcPr>
          <w:p w14:paraId="57D713A9" w14:textId="4FCE1FB0" w:rsidR="00153983" w:rsidRPr="00153983" w:rsidRDefault="00153983">
            <w:pPr>
              <w:cnfStyle w:val="000000000000" w:firstRow="0" w:lastRow="0" w:firstColumn="0" w:lastColumn="0" w:oddVBand="0" w:evenVBand="0" w:oddHBand="0" w:evenHBand="0" w:firstRowFirstColumn="0" w:firstRowLastColumn="0" w:lastRowFirstColumn="0" w:lastRowLastColumn="0"/>
            </w:pPr>
            <w:r>
              <w:rPr>
                <w:b/>
                <w:bCs/>
              </w:rPr>
              <w:t xml:space="preserve">Synopsis: </w:t>
            </w:r>
            <w:r w:rsidRPr="00153983">
              <w:t xml:space="preserve">The bill seeks to expand upon and clarify some aspects of parking for persons with disabilities by amending the Delaware Equal Accommodations Law (DEAL) and the Motor Vehicle Code. </w:t>
            </w:r>
          </w:p>
          <w:p w14:paraId="30A95E5D" w14:textId="6AC2F8F4" w:rsidR="00153983" w:rsidRPr="00153983" w:rsidRDefault="00153983">
            <w:pPr>
              <w:cnfStyle w:val="000000000000" w:firstRow="0" w:lastRow="0" w:firstColumn="0" w:lastColumn="0" w:oddVBand="0" w:evenVBand="0" w:oddHBand="0" w:evenHBand="0" w:firstRowFirstColumn="0" w:firstRowLastColumn="0" w:lastRowFirstColumn="0" w:lastRowLastColumn="0"/>
              <w:rPr>
                <w:b/>
                <w:bCs/>
              </w:rPr>
            </w:pPr>
            <w:r>
              <w:rPr>
                <w:b/>
                <w:bCs/>
              </w:rPr>
              <w:t xml:space="preserve">Council Action: </w:t>
            </w:r>
            <w:r w:rsidR="00B41B50" w:rsidRPr="00B41B50">
              <w:t>Letter</w:t>
            </w:r>
            <w:r w:rsidRPr="00B41B50">
              <w:t xml:space="preserve"> </w:t>
            </w:r>
            <w:r w:rsidR="00B41B50">
              <w:t xml:space="preserve">sent to the General Assembly supporting the concept but would like clarification on the goal of the legislation and the problem it seeks to eliminate.  </w:t>
            </w:r>
          </w:p>
        </w:tc>
        <w:tc>
          <w:tcPr>
            <w:tcW w:w="2875" w:type="dxa"/>
          </w:tcPr>
          <w:p w14:paraId="6C95E20F" w14:textId="77777777" w:rsidR="00153983" w:rsidRDefault="00153983">
            <w:pPr>
              <w:cnfStyle w:val="000000000000" w:firstRow="0" w:lastRow="0" w:firstColumn="0" w:lastColumn="0" w:oddVBand="0" w:evenVBand="0" w:oddHBand="0" w:evenHBand="0" w:firstRowFirstColumn="0" w:firstRowLastColumn="0" w:lastRowFirstColumn="0" w:lastRowLastColumn="0"/>
            </w:pPr>
          </w:p>
        </w:tc>
      </w:tr>
      <w:tr w:rsidR="00B41B50" w:rsidRPr="005802DA" w14:paraId="0921CE0D" w14:textId="77777777" w:rsidTr="003E4B30">
        <w:tc>
          <w:tcPr>
            <w:cnfStyle w:val="001000000000" w:firstRow="0" w:lastRow="0" w:firstColumn="1" w:lastColumn="0" w:oddVBand="0" w:evenVBand="0" w:oddHBand="0" w:evenHBand="0" w:firstRowFirstColumn="0" w:firstRowLastColumn="0" w:lastRowFirstColumn="0" w:lastRowLastColumn="0"/>
            <w:tcW w:w="2875" w:type="dxa"/>
            <w:shd w:val="clear" w:color="auto" w:fill="33CCCC"/>
          </w:tcPr>
          <w:p w14:paraId="16F43E2B" w14:textId="77777777" w:rsidR="00B41B50" w:rsidRPr="005802DA" w:rsidRDefault="00B41B50" w:rsidP="003E4B30">
            <w:pPr>
              <w:jc w:val="center"/>
              <w:rPr>
                <w:rFonts w:ascii="Ink Free" w:hAnsi="Ink Free"/>
                <w:sz w:val="24"/>
                <w:szCs w:val="24"/>
              </w:rPr>
            </w:pPr>
            <w:r w:rsidRPr="005802DA">
              <w:rPr>
                <w:rFonts w:ascii="Ink Free" w:hAnsi="Ink Free"/>
                <w:sz w:val="24"/>
                <w:szCs w:val="24"/>
              </w:rPr>
              <w:lastRenderedPageBreak/>
              <w:t>Bill Number</w:t>
            </w:r>
          </w:p>
        </w:tc>
        <w:tc>
          <w:tcPr>
            <w:tcW w:w="7200" w:type="dxa"/>
            <w:shd w:val="clear" w:color="auto" w:fill="33CCCC"/>
          </w:tcPr>
          <w:p w14:paraId="3301A5EE" w14:textId="77777777" w:rsidR="00B41B50" w:rsidRPr="005802DA" w:rsidRDefault="00B41B50" w:rsidP="003E4B30">
            <w:pPr>
              <w:jc w:val="center"/>
              <w:cnfStyle w:val="000000000000" w:firstRow="0" w:lastRow="0" w:firstColumn="0" w:lastColumn="0" w:oddVBand="0" w:evenVBand="0" w:oddHBand="0" w:evenHBand="0" w:firstRowFirstColumn="0" w:firstRowLastColumn="0" w:lastRowFirstColumn="0" w:lastRowLastColumn="0"/>
              <w:rPr>
                <w:rFonts w:ascii="Ink Free" w:hAnsi="Ink Free"/>
                <w:sz w:val="24"/>
                <w:szCs w:val="24"/>
              </w:rPr>
            </w:pPr>
            <w:r w:rsidRPr="005802DA">
              <w:rPr>
                <w:rFonts w:ascii="Ink Free" w:hAnsi="Ink Free"/>
                <w:sz w:val="24"/>
                <w:szCs w:val="24"/>
              </w:rPr>
              <w:t>Summary and Council Action</w:t>
            </w:r>
          </w:p>
        </w:tc>
        <w:tc>
          <w:tcPr>
            <w:tcW w:w="2875" w:type="dxa"/>
            <w:shd w:val="clear" w:color="auto" w:fill="33CCCC"/>
          </w:tcPr>
          <w:p w14:paraId="614758AD" w14:textId="77777777" w:rsidR="00B41B50" w:rsidRPr="005802DA" w:rsidRDefault="00B41B50" w:rsidP="003E4B30">
            <w:pPr>
              <w:jc w:val="center"/>
              <w:cnfStyle w:val="000000000000" w:firstRow="0" w:lastRow="0" w:firstColumn="0" w:lastColumn="0" w:oddVBand="0" w:evenVBand="0" w:oddHBand="0" w:evenHBand="0" w:firstRowFirstColumn="0" w:firstRowLastColumn="0" w:lastRowFirstColumn="0" w:lastRowLastColumn="0"/>
              <w:rPr>
                <w:rFonts w:ascii="Ink Free" w:hAnsi="Ink Free"/>
                <w:sz w:val="24"/>
                <w:szCs w:val="24"/>
              </w:rPr>
            </w:pPr>
            <w:r w:rsidRPr="005802DA">
              <w:rPr>
                <w:rFonts w:ascii="Ink Free" w:hAnsi="Ink Free"/>
                <w:sz w:val="24"/>
                <w:szCs w:val="24"/>
              </w:rPr>
              <w:t>Status</w:t>
            </w:r>
          </w:p>
        </w:tc>
      </w:tr>
      <w:tr w:rsidR="00B41B50" w14:paraId="337AE766" w14:textId="77777777" w:rsidTr="003B0027">
        <w:trPr>
          <w:trHeight w:val="1358"/>
        </w:trPr>
        <w:tc>
          <w:tcPr>
            <w:cnfStyle w:val="001000000000" w:firstRow="0" w:lastRow="0" w:firstColumn="1" w:lastColumn="0" w:oddVBand="0" w:evenVBand="0" w:oddHBand="0" w:evenHBand="0" w:firstRowFirstColumn="0" w:firstRowLastColumn="0" w:lastRowFirstColumn="0" w:lastRowLastColumn="0"/>
            <w:tcW w:w="2875" w:type="dxa"/>
          </w:tcPr>
          <w:p w14:paraId="02F6D5F1" w14:textId="77777777" w:rsidR="00B41B50" w:rsidRDefault="00B41B50">
            <w:pPr>
              <w:rPr>
                <w:b w:val="0"/>
                <w:bCs w:val="0"/>
              </w:rPr>
            </w:pPr>
            <w:r>
              <w:t>Senate Bill No. 56</w:t>
            </w:r>
          </w:p>
          <w:p w14:paraId="6A700ACE" w14:textId="764E46C3" w:rsidR="00B41B50" w:rsidRPr="00B41B50" w:rsidRDefault="00B41B50">
            <w:pPr>
              <w:rPr>
                <w:b w:val="0"/>
                <w:bCs w:val="0"/>
              </w:rPr>
            </w:pPr>
            <w:r>
              <w:rPr>
                <w:b w:val="0"/>
                <w:bCs w:val="0"/>
              </w:rPr>
              <w:t xml:space="preserve">Educational Opportunity Funding </w:t>
            </w:r>
          </w:p>
        </w:tc>
        <w:tc>
          <w:tcPr>
            <w:tcW w:w="7200" w:type="dxa"/>
          </w:tcPr>
          <w:p w14:paraId="5B8100B2" w14:textId="5EB3F035" w:rsidR="00B41B50" w:rsidRPr="00B41B50" w:rsidRDefault="00B41B50">
            <w:pPr>
              <w:cnfStyle w:val="000000000000" w:firstRow="0" w:lastRow="0" w:firstColumn="0" w:lastColumn="0" w:oddVBand="0" w:evenVBand="0" w:oddHBand="0" w:evenHBand="0" w:firstRowFirstColumn="0" w:firstRowLastColumn="0" w:lastRowFirstColumn="0" w:lastRowLastColumn="0"/>
            </w:pPr>
            <w:r>
              <w:rPr>
                <w:b/>
                <w:bCs/>
              </w:rPr>
              <w:t xml:space="preserve">Synopsis: </w:t>
            </w:r>
            <w:r>
              <w:t xml:space="preserve">This bill introduces an Opportunity Fund, which will provide additional funding for schools to support English Learner (EL) and low-income (LI) students.  This bill is introduced as a result of a settlement agreement in RE Delaware Public Schools Litigation C.A. No. 2018-0029-VCL. </w:t>
            </w:r>
          </w:p>
          <w:p w14:paraId="675B605E" w14:textId="0DBB3AAC" w:rsidR="00B41B50" w:rsidRPr="00B41B50" w:rsidRDefault="00B41B50">
            <w:pPr>
              <w:cnfStyle w:val="000000000000" w:firstRow="0" w:lastRow="0" w:firstColumn="0" w:lastColumn="0" w:oddVBand="0" w:evenVBand="0" w:oddHBand="0" w:evenHBand="0" w:firstRowFirstColumn="0" w:firstRowLastColumn="0" w:lastRowFirstColumn="0" w:lastRowLastColumn="0"/>
            </w:pPr>
            <w:r>
              <w:rPr>
                <w:b/>
                <w:bCs/>
              </w:rPr>
              <w:t xml:space="preserve">Council Action: </w:t>
            </w:r>
            <w:r>
              <w:t xml:space="preserve">Letter sent to the General Assembly supporting the legislation and offering suggestions.  </w:t>
            </w:r>
          </w:p>
        </w:tc>
        <w:tc>
          <w:tcPr>
            <w:tcW w:w="2875" w:type="dxa"/>
          </w:tcPr>
          <w:p w14:paraId="378CE6B1" w14:textId="77777777" w:rsidR="00B41B50" w:rsidRDefault="00B41B50">
            <w:pPr>
              <w:cnfStyle w:val="000000000000" w:firstRow="0" w:lastRow="0" w:firstColumn="0" w:lastColumn="0" w:oddVBand="0" w:evenVBand="0" w:oddHBand="0" w:evenHBand="0" w:firstRowFirstColumn="0" w:firstRowLastColumn="0" w:lastRowFirstColumn="0" w:lastRowLastColumn="0"/>
            </w:pPr>
          </w:p>
        </w:tc>
      </w:tr>
      <w:tr w:rsidR="00B41B50" w14:paraId="6428BD0E" w14:textId="77777777" w:rsidTr="003B0027">
        <w:trPr>
          <w:trHeight w:val="1358"/>
        </w:trPr>
        <w:tc>
          <w:tcPr>
            <w:cnfStyle w:val="001000000000" w:firstRow="0" w:lastRow="0" w:firstColumn="1" w:lastColumn="0" w:oddVBand="0" w:evenVBand="0" w:oddHBand="0" w:evenHBand="0" w:firstRowFirstColumn="0" w:firstRowLastColumn="0" w:lastRowFirstColumn="0" w:lastRowLastColumn="0"/>
            <w:tcW w:w="2875" w:type="dxa"/>
          </w:tcPr>
          <w:p w14:paraId="4969A6DF" w14:textId="77777777" w:rsidR="00B41B50" w:rsidRDefault="00A03507">
            <w:pPr>
              <w:rPr>
                <w:b w:val="0"/>
                <w:bCs w:val="0"/>
              </w:rPr>
            </w:pPr>
            <w:r>
              <w:t xml:space="preserve">House Concurrent Resolution 3 </w:t>
            </w:r>
          </w:p>
          <w:p w14:paraId="2CC7A8ED" w14:textId="1A3E1546" w:rsidR="00A03507" w:rsidRPr="00A03507" w:rsidRDefault="00A03507">
            <w:pPr>
              <w:rPr>
                <w:b w:val="0"/>
                <w:bCs w:val="0"/>
              </w:rPr>
            </w:pPr>
            <w:r>
              <w:rPr>
                <w:b w:val="0"/>
                <w:bCs w:val="0"/>
              </w:rPr>
              <w:t xml:space="preserve">Creation of Delaware Corrections Investigation Task Force </w:t>
            </w:r>
          </w:p>
        </w:tc>
        <w:tc>
          <w:tcPr>
            <w:tcW w:w="7200" w:type="dxa"/>
          </w:tcPr>
          <w:p w14:paraId="6B30287F" w14:textId="1298A886" w:rsidR="00B41B50" w:rsidRPr="00A03507" w:rsidRDefault="00A03507">
            <w:pPr>
              <w:cnfStyle w:val="000000000000" w:firstRow="0" w:lastRow="0" w:firstColumn="0" w:lastColumn="0" w:oddVBand="0" w:evenVBand="0" w:oddHBand="0" w:evenHBand="0" w:firstRowFirstColumn="0" w:firstRowLastColumn="0" w:lastRowFirstColumn="0" w:lastRowLastColumn="0"/>
            </w:pPr>
            <w:r>
              <w:rPr>
                <w:b/>
                <w:bCs/>
              </w:rPr>
              <w:t xml:space="preserve">Synopsis: </w:t>
            </w:r>
            <w:r>
              <w:t xml:space="preserve">This resolution seeks to create a task force to “investigate and make findings and recommendations regarding the treatment of inmates and quality of healthcare provided to inmates in this State’s correctional institutions.” According to the introductory text of the resolution, the task force is being formed in light of the COVID-19 pandemic and particular risks that the pandemic poses to incarcerated individuals, however the duties of the task force as described in the resolution are broader and do not specifically relate to COVID-19.  </w:t>
            </w:r>
          </w:p>
          <w:p w14:paraId="02A8565B" w14:textId="40F38ABA" w:rsidR="00A03507" w:rsidRPr="00A03507" w:rsidRDefault="00A03507">
            <w:pPr>
              <w:cnfStyle w:val="000000000000" w:firstRow="0" w:lastRow="0" w:firstColumn="0" w:lastColumn="0" w:oddVBand="0" w:evenVBand="0" w:oddHBand="0" w:evenHBand="0" w:firstRowFirstColumn="0" w:firstRowLastColumn="0" w:lastRowFirstColumn="0" w:lastRowLastColumn="0"/>
            </w:pPr>
            <w:r>
              <w:rPr>
                <w:b/>
                <w:bCs/>
              </w:rPr>
              <w:t xml:space="preserve">Council Action: </w:t>
            </w:r>
            <w:r>
              <w:t xml:space="preserve">Letter sent to the General Assembly supporting the resolution and sharing observations.  </w:t>
            </w:r>
          </w:p>
        </w:tc>
        <w:tc>
          <w:tcPr>
            <w:tcW w:w="2875" w:type="dxa"/>
          </w:tcPr>
          <w:p w14:paraId="0F0594C3" w14:textId="77777777" w:rsidR="00B41B50" w:rsidRDefault="00B41B50">
            <w:pPr>
              <w:cnfStyle w:val="000000000000" w:firstRow="0" w:lastRow="0" w:firstColumn="0" w:lastColumn="0" w:oddVBand="0" w:evenVBand="0" w:oddHBand="0" w:evenHBand="0" w:firstRowFirstColumn="0" w:firstRowLastColumn="0" w:lastRowFirstColumn="0" w:lastRowLastColumn="0"/>
            </w:pPr>
          </w:p>
        </w:tc>
      </w:tr>
      <w:bookmarkEnd w:id="1"/>
    </w:tbl>
    <w:p w14:paraId="7A9AF509" w14:textId="77777777" w:rsidR="004A2830" w:rsidRDefault="00871E99"/>
    <w:sectPr w:rsidR="004A2830" w:rsidSect="008618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B6317" w14:textId="77777777" w:rsidR="00871E99" w:rsidRDefault="00871E99" w:rsidP="0086184D">
      <w:pPr>
        <w:spacing w:after="0" w:line="240" w:lineRule="auto"/>
      </w:pPr>
      <w:r>
        <w:separator/>
      </w:r>
    </w:p>
  </w:endnote>
  <w:endnote w:type="continuationSeparator" w:id="0">
    <w:p w14:paraId="27392EA7" w14:textId="77777777" w:rsidR="00871E99" w:rsidRDefault="00871E99" w:rsidP="0086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D0332" w14:textId="77777777" w:rsidR="00871E99" w:rsidRDefault="00871E99" w:rsidP="0086184D">
      <w:pPr>
        <w:spacing w:after="0" w:line="240" w:lineRule="auto"/>
      </w:pPr>
      <w:r>
        <w:separator/>
      </w:r>
    </w:p>
  </w:footnote>
  <w:footnote w:type="continuationSeparator" w:id="0">
    <w:p w14:paraId="1BCAEFF4" w14:textId="77777777" w:rsidR="00871E99" w:rsidRDefault="00871E99" w:rsidP="00861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4D"/>
    <w:rsid w:val="000D0055"/>
    <w:rsid w:val="00153983"/>
    <w:rsid w:val="00284007"/>
    <w:rsid w:val="003643E3"/>
    <w:rsid w:val="003B0027"/>
    <w:rsid w:val="005802DA"/>
    <w:rsid w:val="00637325"/>
    <w:rsid w:val="00701B2E"/>
    <w:rsid w:val="007729CD"/>
    <w:rsid w:val="0086184D"/>
    <w:rsid w:val="00871E99"/>
    <w:rsid w:val="008C6CF1"/>
    <w:rsid w:val="00A03507"/>
    <w:rsid w:val="00AE7CEB"/>
    <w:rsid w:val="00B41B50"/>
    <w:rsid w:val="00E032A7"/>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FB4"/>
  <w15:chartTrackingRefBased/>
  <w15:docId w15:val="{B8524D1C-C130-4E30-936D-546997BB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8618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6184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61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618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618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618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618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618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618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6184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6184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618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6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84D"/>
  </w:style>
  <w:style w:type="paragraph" w:styleId="Footer">
    <w:name w:val="footer"/>
    <w:basedOn w:val="Normal"/>
    <w:link w:val="FooterChar"/>
    <w:uiPriority w:val="99"/>
    <w:unhideWhenUsed/>
    <w:rsid w:val="0086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18C8-517D-4884-9FEB-804C6843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Lacie (GACEC)</dc:creator>
  <cp:keywords/>
  <dc:description/>
  <cp:lastModifiedBy>Robin Coventry</cp:lastModifiedBy>
  <cp:revision>2</cp:revision>
  <dcterms:created xsi:type="dcterms:W3CDTF">2021-03-29T12:51:00Z</dcterms:created>
  <dcterms:modified xsi:type="dcterms:W3CDTF">2021-03-29T12:51:00Z</dcterms:modified>
</cp:coreProperties>
</file>